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年圣母大学春季学期（全部专业+科研机会）访学项目</w:t>
      </w:r>
      <w:bookmarkStart w:id="0" w:name="OLE_LINK3"/>
      <w:bookmarkEnd w:id="0"/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sz w:val="24"/>
        </w:rPr>
      </w:pPr>
      <w:r>
        <w:rPr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>学校概况</w:t>
      </w:r>
      <w:r>
        <w:rPr>
          <w:b/>
          <w:bCs/>
          <w:sz w:val="24"/>
        </w:rPr>
        <w:t>】</w:t>
      </w:r>
    </w:p>
    <w:p>
      <w:pPr>
        <w:spacing w:line="360" w:lineRule="auto"/>
        <w:ind w:firstLine="482" w:firstLineChars="200"/>
        <w:rPr>
          <w:sz w:val="24"/>
          <w:lang w:val="zh-TW"/>
        </w:rPr>
      </w:pPr>
      <w:r>
        <w:rPr>
          <w:rFonts w:hint="eastAsia"/>
          <w:b/>
          <w:bCs/>
          <w:sz w:val="24"/>
          <w:lang w:val="zh-TW"/>
        </w:rPr>
        <w:t>圣母大学</w:t>
      </w:r>
      <w:r>
        <w:rPr>
          <w:rFonts w:hint="eastAsia"/>
          <w:sz w:val="24"/>
          <w:lang w:val="zh-TW"/>
        </w:rPr>
        <w:t>（University of Notre Dame）始建于19世纪中期，经历了一个多世纪的辉煌，享誉全美，是一所综合类研究型大学，本科教育稳居全美20所顶尖学府之列。2018年USNews</w:t>
      </w:r>
      <w:r>
        <w:rPr>
          <w:rFonts w:hint="eastAsia"/>
          <w:sz w:val="24"/>
        </w:rPr>
        <w:t>全美</w:t>
      </w:r>
      <w:r>
        <w:rPr>
          <w:rFonts w:hint="eastAsia"/>
          <w:sz w:val="24"/>
          <w:lang w:val="zh-TW"/>
        </w:rPr>
        <w:t>排名</w:t>
      </w:r>
      <w:r>
        <w:rPr>
          <w:rFonts w:hint="eastAsia"/>
          <w:sz w:val="24"/>
        </w:rPr>
        <w:t>第1</w:t>
      </w:r>
      <w:r>
        <w:rPr>
          <w:rFonts w:hint="eastAsia"/>
          <w:sz w:val="24"/>
          <w:lang w:val="zh-TW"/>
        </w:rPr>
        <w:t>8，</w:t>
      </w:r>
      <w:r>
        <w:rPr>
          <w:sz w:val="24"/>
        </w:rPr>
        <w:t>排名超过美国所有公立大学包括加州大学伯克利分校和洛杉矶分校</w:t>
      </w:r>
      <w:r>
        <w:rPr>
          <w:rFonts w:hint="eastAsia"/>
          <w:sz w:val="24"/>
          <w:lang w:val="zh-TW"/>
        </w:rPr>
        <w:t>。《纽约时报》给予圣母大学最高的五颗星的学术评分。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  <w:lang w:val="zh-TW"/>
        </w:rPr>
        <w:t>圣母大学本科生教育全美11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lang w:eastAsia="zh-Hans"/>
        </w:rPr>
        <w:t>；</w:t>
      </w:r>
      <w:r>
        <w:rPr>
          <w:rFonts w:hint="eastAsia"/>
          <w:sz w:val="24"/>
          <w:lang w:val="zh-TW"/>
        </w:rPr>
        <w:t>20名本科生获得罗德奖学金；师生比率1:</w:t>
      </w:r>
      <w:r>
        <w:rPr>
          <w:sz w:val="24"/>
        </w:rPr>
        <w:t>9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TW"/>
        </w:rPr>
        <w:t>大量科研资源分配给本科生，使本科生以及国际生从事科研的机会几乎是100%；USNews教授实力排名第4；本科生录取率为10%，注重本科生教育，本科生质量高，为全世界最优秀的学生，与哈佛等学校录取率接近；会计学为优势学科，全美第7</w:t>
      </w:r>
      <w:r>
        <w:rPr>
          <w:rFonts w:hint="eastAsia"/>
          <w:sz w:val="24"/>
          <w:lang w:val="zh-TW" w:eastAsia="zh-Hans"/>
        </w:rPr>
        <w:t>；建筑学院在Niche上排名</w:t>
      </w:r>
      <w:r>
        <w:rPr>
          <w:rFonts w:hint="eastAsia"/>
          <w:sz w:val="24"/>
          <w:lang w:eastAsia="zh-Hans"/>
        </w:rPr>
        <w:t>全美</w:t>
      </w:r>
      <w:r>
        <w:rPr>
          <w:rFonts w:hint="eastAsia"/>
          <w:sz w:val="24"/>
          <w:lang w:val="zh-TW" w:eastAsia="zh-Hans"/>
        </w:rPr>
        <w:t>第10；</w:t>
      </w:r>
      <w:r>
        <w:rPr>
          <w:rFonts w:hint="eastAsia"/>
          <w:sz w:val="24"/>
          <w:lang w:eastAsia="zh-Hans"/>
        </w:rPr>
        <w:t>文学院</w:t>
      </w:r>
      <w:r>
        <w:rPr>
          <w:rFonts w:hint="eastAsia"/>
          <w:sz w:val="24"/>
          <w:lang w:val="zh-TW"/>
        </w:rPr>
        <w:t>获得国家人文基金会研究奖金的教授人数全美第1</w:t>
      </w:r>
      <w:r>
        <w:rPr>
          <w:rFonts w:hint="eastAsia"/>
          <w:sz w:val="24"/>
          <w:lang w:val="zh-TW" w:eastAsia="zh-Hans"/>
        </w:rPr>
        <w:t>；</w:t>
      </w:r>
      <w:r>
        <w:rPr>
          <w:rFonts w:hint="eastAsia"/>
          <w:sz w:val="24"/>
          <w:lang w:eastAsia="zh-Hans"/>
        </w:rPr>
        <w:t>工程学院</w:t>
      </w:r>
      <w:r>
        <w:rPr>
          <w:rFonts w:hint="eastAsia"/>
          <w:sz w:val="24"/>
          <w:lang w:val="zh-TW" w:eastAsia="zh-Hans"/>
        </w:rPr>
        <w:t>60%的本科生</w:t>
      </w:r>
      <w:r>
        <w:rPr>
          <w:rFonts w:hint="eastAsia"/>
          <w:sz w:val="24"/>
          <w:lang w:eastAsia="zh-Hans"/>
        </w:rPr>
        <w:t>都在</w:t>
      </w:r>
      <w:r>
        <w:rPr>
          <w:rFonts w:hint="eastAsia"/>
          <w:sz w:val="24"/>
          <w:lang w:val="zh-TW" w:eastAsia="zh-Hans"/>
        </w:rPr>
        <w:t>进行科研，每年</w:t>
      </w:r>
      <w:r>
        <w:rPr>
          <w:rFonts w:hint="eastAsia"/>
          <w:sz w:val="24"/>
          <w:lang w:eastAsia="zh-Hans"/>
        </w:rPr>
        <w:t>有</w:t>
      </w:r>
      <w:r>
        <w:rPr>
          <w:rFonts w:hint="eastAsia"/>
          <w:sz w:val="24"/>
          <w:lang w:val="zh-TW" w:eastAsia="zh-Hans"/>
        </w:rPr>
        <w:t>6000千万美金的科研支出，</w:t>
      </w:r>
      <w:r>
        <w:rPr>
          <w:rFonts w:hint="eastAsia"/>
          <w:sz w:val="24"/>
          <w:lang w:eastAsia="zh-Hans"/>
        </w:rPr>
        <w:t>并且</w:t>
      </w:r>
      <w:r>
        <w:rPr>
          <w:rFonts w:hint="eastAsia"/>
          <w:sz w:val="24"/>
          <w:lang w:val="zh-TW" w:eastAsia="zh-Hans"/>
        </w:rPr>
        <w:t>全校20%的学生都在工程</w:t>
      </w:r>
      <w:r>
        <w:rPr>
          <w:rFonts w:hint="eastAsia"/>
          <w:sz w:val="24"/>
          <w:lang w:eastAsia="zh-Hans"/>
        </w:rPr>
        <w:t>学院就读</w:t>
      </w:r>
      <w:r>
        <w:rPr>
          <w:rFonts w:hint="eastAsia"/>
          <w:sz w:val="24"/>
          <w:lang w:val="zh-TW" w:eastAsia="zh-Hans"/>
        </w:rPr>
        <w:t>；</w:t>
      </w:r>
      <w:r>
        <w:rPr>
          <w:rFonts w:hint="eastAsia"/>
          <w:sz w:val="24"/>
          <w:lang w:val="zh-TW"/>
        </w:rPr>
        <w:t>门多萨商学院商科排名2010--201</w:t>
      </w:r>
      <w:r>
        <w:rPr>
          <w:rFonts w:hint="eastAsia"/>
          <w:sz w:val="24"/>
        </w:rPr>
        <w:t>4</w:t>
      </w:r>
      <w:r>
        <w:rPr>
          <w:rFonts w:hint="eastAsia"/>
          <w:sz w:val="24"/>
          <w:lang w:val="zh-TW"/>
        </w:rPr>
        <w:t>连续五年在《商业周刊（彭博通讯）》的全美高校本科商学院</w:t>
      </w:r>
      <w:r>
        <w:rPr>
          <w:rFonts w:hint="eastAsia"/>
          <w:sz w:val="24"/>
          <w:lang w:val="zh-TW" w:eastAsia="zh-TW"/>
        </w:rPr>
        <w:t>排名中名列全美第1</w:t>
      </w:r>
      <w:r>
        <w:rPr>
          <w:rFonts w:hint="eastAsia"/>
          <w:sz w:val="24"/>
          <w:lang w:val="zh-TW"/>
        </w:rPr>
        <w:t>。</w:t>
      </w:r>
    </w:p>
    <w:p>
      <w:pPr>
        <w:spacing w:line="360" w:lineRule="auto"/>
        <w:jc w:val="center"/>
        <w:rPr>
          <w:b/>
          <w:bCs/>
          <w:sz w:val="24"/>
        </w:rPr>
      </w:pPr>
      <w:r>
        <w:rPr>
          <w:sz w:val="24"/>
        </w:rPr>
        <w:drawing>
          <wp:inline distT="0" distB="0" distL="114300" distR="114300">
            <wp:extent cx="5398770" cy="2703195"/>
            <wp:effectExtent l="0" t="0" r="11430" b="9525"/>
            <wp:docPr id="1" name="图片 1" descr="/Volumes/HP v220w/素材图片/圣母大学/圣母大学13.jpeg圣母大学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Volumes/HP v220w/素材图片/圣母大学/圣母大学13.jpeg圣母大学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  <w:bCs/>
          <w:sz w:val="24"/>
        </w:rPr>
      </w:pPr>
      <w:bookmarkStart w:id="1" w:name="OLE_LINK11"/>
      <w:r>
        <w:rPr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>项目优势</w:t>
      </w:r>
      <w:r>
        <w:rPr>
          <w:b/>
          <w:bCs/>
          <w:sz w:val="24"/>
        </w:rPr>
        <w:t>】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sz w:val="24"/>
        </w:rPr>
        <w:t>全美大学排名2018US NEWS 第18名，排名超过美国所有公立大学包括加州大学伯克利分校和洛杉矶分校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sz w:val="24"/>
          <w:lang w:val="zh-TW"/>
        </w:rPr>
      </w:pPr>
      <w:r>
        <w:rPr>
          <w:rFonts w:hint="eastAsia"/>
          <w:sz w:val="24"/>
        </w:rPr>
        <w:t>圣</w:t>
      </w:r>
      <w:r>
        <w:rPr>
          <w:rFonts w:hint="eastAsia"/>
          <w:sz w:val="24"/>
          <w:lang w:val="zh-TW"/>
        </w:rPr>
        <w:t>母大学本科生科研资源极其丰富，学生主动申请，大多数都能获得教授实验室的科研机会；</w:t>
      </w:r>
    </w:p>
    <w:p>
      <w:pPr>
        <w:numPr>
          <w:ilvl w:val="0"/>
          <w:numId w:val="1"/>
        </w:numPr>
        <w:spacing w:line="360" w:lineRule="auto"/>
        <w:rPr>
          <w:sz w:val="24"/>
          <w:lang w:val="zh-TW"/>
        </w:rPr>
      </w:pPr>
      <w:r>
        <w:rPr>
          <w:rFonts w:hint="eastAsia"/>
          <w:sz w:val="24"/>
          <w:lang w:val="zh-TW"/>
        </w:rPr>
        <w:t>圣母大学学期交流开放专业和课程众多，包括文理学院、商学院、工程学院、科学院和建筑学院；</w:t>
      </w:r>
    </w:p>
    <w:p>
      <w:pPr>
        <w:numPr>
          <w:ilvl w:val="0"/>
          <w:numId w:val="1"/>
        </w:numPr>
        <w:spacing w:line="360" w:lineRule="auto"/>
        <w:rPr>
          <w:sz w:val="24"/>
          <w:lang w:val="zh-TW"/>
        </w:rPr>
      </w:pPr>
      <w:r>
        <w:rPr>
          <w:rFonts w:hint="eastAsia"/>
          <w:sz w:val="24"/>
          <w:lang w:val="zh-TW"/>
        </w:rPr>
        <w:t>提供顶尖私立大学优越的硬件条件以及安全服务；</w:t>
      </w:r>
    </w:p>
    <w:p>
      <w:pPr>
        <w:numPr>
          <w:ilvl w:val="0"/>
          <w:numId w:val="1"/>
        </w:numPr>
        <w:spacing w:line="360" w:lineRule="auto"/>
        <w:rPr>
          <w:sz w:val="24"/>
          <w:lang w:val="zh-TW"/>
        </w:rPr>
      </w:pPr>
      <w:r>
        <w:rPr>
          <w:rFonts w:hint="eastAsia"/>
          <w:sz w:val="24"/>
        </w:rPr>
        <w:t>享受校内住宿</w:t>
      </w:r>
      <w:r>
        <w:rPr>
          <w:rFonts w:hint="eastAsia"/>
          <w:sz w:val="24"/>
          <w:lang w:val="zh-TW"/>
        </w:rPr>
        <w:t>，与当地学生以及世界各地学生进行亲密交流，学习语言文化，分享学术知识；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  <w:lang w:val="zh-TW" w:eastAsia="zh-TW"/>
        </w:rPr>
        <w:t>学生可在圣母大学进行一个学期的交流学习，与美国当地及其他国际学生</w:t>
      </w:r>
      <w:r>
        <w:rPr>
          <w:rFonts w:hint="eastAsia"/>
          <w:sz w:val="24"/>
          <w:lang w:val="zh-TW"/>
        </w:rPr>
        <w:t>一</w:t>
      </w:r>
      <w:r>
        <w:rPr>
          <w:rFonts w:hint="eastAsia"/>
          <w:sz w:val="24"/>
          <w:lang w:val="zh-TW" w:eastAsia="zh-TW"/>
        </w:rPr>
        <w:t>起从师于世界顶级学者进行专业课插班学习；</w:t>
      </w:r>
    </w:p>
    <w:p>
      <w:pPr>
        <w:numPr>
          <w:ilvl w:val="0"/>
          <w:numId w:val="1"/>
        </w:numPr>
        <w:spacing w:line="360" w:lineRule="auto"/>
        <w:rPr>
          <w:sz w:val="24"/>
          <w:lang w:val="zh-TW"/>
        </w:rPr>
      </w:pPr>
      <w:r>
        <w:rPr>
          <w:rFonts w:hint="eastAsia"/>
          <w:sz w:val="24"/>
          <w:lang w:val="zh-TW" w:eastAsia="zh-TW"/>
        </w:rPr>
        <w:t>学生选修该校本科生常规专业课程12</w:t>
      </w:r>
      <w:r>
        <w:rPr>
          <w:rFonts w:eastAsia="PMingLiU"/>
          <w:sz w:val="24"/>
          <w:lang w:val="zh-TW" w:eastAsia="zh-TW"/>
        </w:rPr>
        <w:t>-15</w:t>
      </w:r>
      <w:r>
        <w:rPr>
          <w:rFonts w:hint="eastAsia"/>
          <w:sz w:val="24"/>
          <w:lang w:val="zh-TW" w:eastAsia="zh-TW"/>
        </w:rPr>
        <w:t>个学分</w:t>
      </w:r>
      <w:r>
        <w:rPr>
          <w:rFonts w:hint="eastAsia"/>
          <w:sz w:val="24"/>
          <w:lang w:val="zh-TW" w:eastAsia="zh-CN"/>
        </w:rPr>
        <w:t>，并获得学校</w:t>
      </w:r>
      <w:r>
        <w:rPr>
          <w:rFonts w:hint="eastAsia"/>
          <w:sz w:val="24"/>
          <w:lang w:val="zh-TW" w:eastAsia="zh-TW"/>
        </w:rPr>
        <w:t>官方成绩单；</w:t>
      </w:r>
    </w:p>
    <w:p>
      <w:pPr>
        <w:numPr>
          <w:ilvl w:val="0"/>
          <w:numId w:val="1"/>
        </w:numPr>
        <w:spacing w:line="360" w:lineRule="auto"/>
        <w:rPr>
          <w:sz w:val="24"/>
          <w:lang w:val="zh-TW"/>
        </w:rPr>
      </w:pPr>
      <w:r>
        <w:rPr>
          <w:rFonts w:hint="eastAsia"/>
          <w:sz w:val="24"/>
          <w:lang w:val="zh-TW" w:eastAsia="zh-TW"/>
        </w:rPr>
        <w:t>学生持F-1学生签证赴美学习，为以后赴美保有良好入境记录；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zh-TW" w:eastAsia="zh-CN"/>
        </w:rPr>
        <w:t>为申请赴海外名校进行硕士、博士研究生</w:t>
      </w:r>
      <w:r>
        <w:rPr>
          <w:rFonts w:hint="eastAsia"/>
          <w:sz w:val="24"/>
          <w:lang w:val="zh-TW" w:eastAsia="zh-TW"/>
        </w:rPr>
        <w:t>深造</w:t>
      </w:r>
      <w:r>
        <w:rPr>
          <w:rFonts w:hint="eastAsia"/>
          <w:sz w:val="24"/>
          <w:lang w:val="zh-TW" w:eastAsia="zh-CN"/>
        </w:rPr>
        <w:t>创造条件</w:t>
      </w:r>
      <w:r>
        <w:rPr>
          <w:rFonts w:hint="eastAsia"/>
          <w:sz w:val="24"/>
          <w:lang w:val="zh-TW"/>
        </w:rPr>
        <w:t>。</w:t>
      </w:r>
    </w:p>
    <w:p>
      <w:pPr>
        <w:pStyle w:val="6"/>
        <w:shd w:val="clear" w:color="auto" w:fill="FFFFFF"/>
        <w:rPr>
          <w:b/>
          <w:bCs/>
        </w:rPr>
      </w:pPr>
    </w:p>
    <w:p>
      <w:pPr>
        <w:pStyle w:val="6"/>
        <w:shd w:val="clear" w:color="auto" w:fill="FFFFFF"/>
        <w:rPr>
          <w:b/>
          <w:bCs/>
        </w:rPr>
      </w:pPr>
      <w:r>
        <w:rPr>
          <w:b/>
          <w:bCs/>
        </w:rPr>
        <w:t>【</w:t>
      </w:r>
      <w:r>
        <w:rPr>
          <w:rFonts w:hint="eastAsia"/>
          <w:b/>
          <w:bCs/>
          <w:kern w:val="2"/>
        </w:rPr>
        <w:t>可选择的学院及专业</w:t>
      </w:r>
      <w:r>
        <w:rPr>
          <w:b/>
          <w:bCs/>
        </w:rPr>
        <w:t>】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b/>
          <w:bCs/>
          <w:sz w:val="24"/>
          <w:lang w:val="zh-TW"/>
        </w:rPr>
      </w:pPr>
      <w:r>
        <w:rPr>
          <w:rFonts w:hint="eastAsia"/>
          <w:b/>
          <w:bCs/>
          <w:sz w:val="24"/>
          <w:lang w:val="zh-TW"/>
        </w:rPr>
        <w:t>文学院</w:t>
      </w:r>
    </w:p>
    <w:p>
      <w:pPr>
        <w:spacing w:line="360" w:lineRule="auto"/>
        <w:rPr>
          <w:sz w:val="24"/>
          <w:lang w:val="zh-TW"/>
        </w:rPr>
      </w:pPr>
      <w:r>
        <w:rPr>
          <w:rFonts w:hint="eastAsia"/>
          <w:sz w:val="24"/>
          <w:lang w:val="zh-TW"/>
        </w:rPr>
        <w:t>非洲研究、美国研究、人类学、阿拉伯研究、艺术史、中文、经典、设计、经济学、英语、电影、电视和戏剧、法语、性别研究、德语、希腊罗马文明、历史、国际经济学、爱尔兰语言和文学、意大利研究、日语、数学、中世纪研究、音乐、神经科学与行为、哲学、哲学与神学、政治学、通识课程、心理学、浪漫主义语言与文学、俄语、社会学、西班语、工作室艺术、神学、医学基础、商业经济学、天主教社会传统、协同创新、计算和数字技术、数据科学、教育、学校教育和社会、赫斯伯格公共服务计划、新闻、道德和民主、拉丁美洲研究、贫困研究、科学、技术和价值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b/>
          <w:bCs/>
          <w:sz w:val="24"/>
          <w:lang w:val="zh-TW"/>
        </w:rPr>
      </w:pPr>
      <w:r>
        <w:rPr>
          <w:rFonts w:hint="eastAsia"/>
          <w:b/>
          <w:bCs/>
          <w:sz w:val="24"/>
          <w:lang w:val="zh-TW"/>
        </w:rPr>
        <w:t>理学院</w:t>
      </w:r>
    </w:p>
    <w:p>
      <w:pPr>
        <w:spacing w:line="360" w:lineRule="auto"/>
        <w:rPr>
          <w:sz w:val="24"/>
          <w:lang w:val="zh-TW"/>
        </w:rPr>
      </w:pPr>
      <w:r>
        <w:rPr>
          <w:rFonts w:hint="eastAsia"/>
          <w:sz w:val="24"/>
          <w:lang w:val="zh-TW"/>
        </w:rPr>
        <w:t>应用和计算数学与统计、生物化学、生物科学、化学、环境科学、数学、神经科学与行为、物理学、医学物理学、职前研究、商科、计算机、教育、统计学、精算学、能源研究、可持续研究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b/>
          <w:bCs/>
          <w:sz w:val="24"/>
          <w:lang w:val="zh-TW"/>
        </w:rPr>
      </w:pPr>
      <w:r>
        <w:rPr>
          <w:rFonts w:hint="eastAsia"/>
          <w:b/>
          <w:bCs/>
          <w:sz w:val="24"/>
          <w:lang w:val="zh-TW"/>
        </w:rPr>
        <w:t>门多萨商学院</w:t>
      </w:r>
    </w:p>
    <w:p>
      <w:pPr>
        <w:spacing w:line="360" w:lineRule="auto"/>
        <w:rPr>
          <w:sz w:val="24"/>
          <w:lang w:val="zh-TW"/>
        </w:rPr>
      </w:pPr>
      <w:r>
        <w:rPr>
          <w:rFonts w:hint="eastAsia"/>
          <w:sz w:val="24"/>
          <w:lang w:val="zh-TW"/>
        </w:rPr>
        <w:t>会计学、商业分析、金融、信息技术管理、管理咨询、营销、创新创业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b/>
          <w:bCs/>
          <w:sz w:val="24"/>
          <w:lang w:val="zh-TW"/>
        </w:rPr>
      </w:pPr>
      <w:r>
        <w:rPr>
          <w:rFonts w:hint="eastAsia"/>
          <w:b/>
          <w:bCs/>
          <w:sz w:val="24"/>
          <w:lang w:val="zh-TW"/>
        </w:rPr>
        <w:t>工程学院</w:t>
      </w:r>
    </w:p>
    <w:p>
      <w:pPr>
        <w:pStyle w:val="13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航空航天工程、化工、土木工程、计算机工程、计算机科学、电气工程、环境地球科学、环境工程、机械工程、生物工程、计算工程、能源工程、能源研究、工程公司实务、环境地球科学、工程系统的弹性和可持续性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建筑学院</w:t>
      </w:r>
    </w:p>
    <w:p>
      <w:pPr>
        <w:pStyle w:val="13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建筑学、可持续性、建筑实践与企业、家具设计、保存和恢复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基奥全球事务学院</w:t>
      </w:r>
    </w:p>
    <w:p>
      <w:pPr>
        <w:pStyle w:val="13"/>
        <w:spacing w:line="360" w:lineRule="auto"/>
        <w:ind w:firstLine="0" w:firstLineChars="0"/>
        <w:rPr>
          <w:b/>
          <w:bCs/>
          <w:sz w:val="24"/>
        </w:rPr>
      </w:pPr>
      <w:r>
        <w:rPr>
          <w:rFonts w:hint="eastAsia"/>
          <w:sz w:val="24"/>
        </w:rPr>
        <w:t>全球事务</w:t>
      </w:r>
      <w:bookmarkEnd w:id="1"/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5271770" cy="3251835"/>
            <wp:effectExtent l="0" t="0" r="1270" b="9525"/>
            <wp:docPr id="2" name="图片 2" descr="校园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园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>报名条件</w:t>
      </w:r>
      <w:r>
        <w:rPr>
          <w:b/>
          <w:bCs/>
          <w:sz w:val="24"/>
        </w:rPr>
        <w:t>】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  <w:lang w:eastAsia="zh-TW"/>
        </w:rPr>
        <w:t>在校全日制本科生</w:t>
      </w:r>
      <w:r>
        <w:rPr>
          <w:rFonts w:hint="eastAsia"/>
          <w:sz w:val="24"/>
        </w:rPr>
        <w:t>（海外学习时需</w:t>
      </w:r>
      <w:r>
        <w:rPr>
          <w:rFonts w:hint="eastAsia"/>
          <w:sz w:val="24"/>
          <w:lang w:eastAsia="zh-CN"/>
        </w:rPr>
        <w:t>为</w:t>
      </w:r>
      <w:r>
        <w:rPr>
          <w:rFonts w:hint="eastAsia"/>
          <w:sz w:val="24"/>
          <w:lang w:eastAsia="zh-TW"/>
        </w:rPr>
        <w:t>大二及以上本科生</w:t>
      </w:r>
      <w:r>
        <w:rPr>
          <w:rFonts w:hint="eastAsia"/>
          <w:sz w:val="24"/>
          <w:lang w:eastAsia="zh-CN"/>
        </w:rPr>
        <w:t>，毕业学期不可参加</w:t>
      </w:r>
      <w:r>
        <w:rPr>
          <w:rFonts w:hint="eastAsia"/>
          <w:sz w:val="24"/>
        </w:rPr>
        <w:t>）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GPA要求：3.0/4.0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语言最低要求：托福90、雅思</w:t>
      </w:r>
      <w:r>
        <w:rPr>
          <w:sz w:val="24"/>
        </w:rPr>
        <w:t>7</w:t>
      </w:r>
      <w:r>
        <w:rPr>
          <w:rFonts w:hint="eastAsia"/>
          <w:sz w:val="24"/>
        </w:rPr>
        <w:t>，Duolingo115（有一项语言成绩即可）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未达到英语要求的学生可申请参加面试，请联系屈老师详询：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微信：ispconsultant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>项目内容</w:t>
      </w:r>
      <w:r>
        <w:rPr>
          <w:b/>
          <w:bCs/>
          <w:sz w:val="24"/>
        </w:rPr>
        <w:t>】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选择圣母大学12学分以上课程，与美国优秀的本科生共同学习（研究生级别课程不开放）</w:t>
      </w:r>
      <w:r>
        <w:rPr>
          <w:rFonts w:hint="eastAsia"/>
          <w:sz w:val="24"/>
          <w:lang w:eastAsia="zh-CN"/>
        </w:rPr>
        <w:t>；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热门课程比如商科、计算机、经济学、统计学均开放，注册课程需满足先修课</w:t>
      </w:r>
      <w:r>
        <w:rPr>
          <w:rFonts w:hint="eastAsia"/>
          <w:sz w:val="24"/>
          <w:lang w:eastAsia="zh-CN"/>
        </w:rPr>
        <w:t>要</w:t>
      </w:r>
      <w:r>
        <w:rPr>
          <w:rFonts w:hint="eastAsia"/>
          <w:sz w:val="24"/>
        </w:rPr>
        <w:t>求，并且在有空位的基础上进行</w:t>
      </w:r>
      <w:r>
        <w:rPr>
          <w:rFonts w:hint="eastAsia"/>
          <w:sz w:val="24"/>
          <w:lang w:eastAsia="zh-CN"/>
        </w:rPr>
        <w:t>；</w:t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修课期间可根据个人需求，主动跟教授申请开展科研活动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>项目安排</w:t>
      </w:r>
      <w:r>
        <w:rPr>
          <w:b/>
          <w:bCs/>
          <w:sz w:val="24"/>
        </w:rPr>
        <w:t>】</w:t>
      </w:r>
    </w:p>
    <w:p>
      <w:pPr>
        <w:numPr>
          <w:ilvl w:val="0"/>
          <w:numId w:val="5"/>
        </w:numPr>
        <w:spacing w:line="360" w:lineRule="auto"/>
        <w:rPr>
          <w:sz w:val="24"/>
          <w:lang w:val="zh-TW"/>
        </w:rPr>
      </w:pPr>
      <w:r>
        <w:rPr>
          <w:rFonts w:hint="eastAsia"/>
          <w:sz w:val="24"/>
        </w:rPr>
        <w:t>项目时间：</w:t>
      </w:r>
      <w:r>
        <w:rPr>
          <w:rFonts w:hint="eastAsia"/>
          <w:sz w:val="24"/>
          <w:lang w:val="en-US" w:eastAsia="zh-CN"/>
        </w:rPr>
        <w:t>2023年</w:t>
      </w:r>
      <w:r>
        <w:rPr>
          <w:rFonts w:hint="eastAsia"/>
          <w:sz w:val="24"/>
        </w:rPr>
        <w:t>春季1月中旬-5月中旬；</w:t>
      </w:r>
    </w:p>
    <w:p>
      <w:pPr>
        <w:numPr>
          <w:ilvl w:val="0"/>
          <w:numId w:val="5"/>
        </w:numPr>
        <w:spacing w:line="360" w:lineRule="auto"/>
        <w:rPr>
          <w:sz w:val="24"/>
          <w:lang w:val="zh-TW"/>
        </w:rPr>
      </w:pPr>
      <w:r>
        <w:rPr>
          <w:rFonts w:hint="eastAsia"/>
          <w:sz w:val="24"/>
        </w:rPr>
        <w:t>选拔人数：名额总量有限情况下，先申请先录取原则；</w:t>
      </w:r>
    </w:p>
    <w:p>
      <w:pPr>
        <w:numPr>
          <w:ilvl w:val="0"/>
          <w:numId w:val="5"/>
        </w:numPr>
        <w:spacing w:line="360" w:lineRule="auto"/>
        <w:rPr>
          <w:sz w:val="24"/>
          <w:lang w:val="zh-TW" w:eastAsia="zh-TW"/>
        </w:rPr>
      </w:pPr>
      <w:r>
        <w:rPr>
          <w:rFonts w:hint="eastAsia"/>
          <w:sz w:val="24"/>
        </w:rPr>
        <w:t>适合专业：</w:t>
      </w:r>
      <w:r>
        <w:rPr>
          <w:rFonts w:hint="eastAsia"/>
          <w:sz w:val="24"/>
          <w:lang w:val="zh-TW" w:eastAsia="zh-TW"/>
        </w:rPr>
        <w:t>所有专业</w:t>
      </w:r>
      <w:r>
        <w:rPr>
          <w:rFonts w:hint="eastAsia"/>
          <w:sz w:val="24"/>
          <w:lang w:val="zh-TW"/>
        </w:rPr>
        <w:t>（</w:t>
      </w:r>
      <w:r>
        <w:rPr>
          <w:rFonts w:hint="eastAsia"/>
          <w:sz w:val="24"/>
          <w:lang w:val="zh-TW" w:eastAsia="zh-TW"/>
        </w:rPr>
        <w:t>医学基础、文学院、理学院、工程学院、建筑学院、国际事务学院、商学院）；</w:t>
      </w:r>
    </w:p>
    <w:p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授课方式：赴海外线下学习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>项目费用</w:t>
      </w:r>
      <w:r>
        <w:rPr>
          <w:b/>
          <w:bCs/>
          <w:sz w:val="24"/>
        </w:rPr>
        <w:t>】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项目费用预估：</w:t>
      </w:r>
      <w:r>
        <w:rPr>
          <w:rFonts w:hint="eastAsia"/>
          <w:sz w:val="24"/>
          <w:lang w:val="zh-CN"/>
        </w:rPr>
        <w:t>$</w:t>
      </w:r>
      <w:r>
        <w:rPr>
          <w:sz w:val="24"/>
          <w:lang w:val="zh-CN"/>
        </w:rPr>
        <w:t>18113</w:t>
      </w:r>
      <w:r>
        <w:rPr>
          <w:rFonts w:hint="eastAsia"/>
          <w:sz w:val="24"/>
          <w:lang w:val="zh-TW"/>
        </w:rPr>
        <w:t>（包括</w:t>
      </w:r>
      <w:r>
        <w:rPr>
          <w:rFonts w:hint="eastAsia"/>
          <w:sz w:val="24"/>
        </w:rPr>
        <w:t>学费、保险费、杂费、项目管理费）；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各费用组成: 学费$14700（12学分）</w:t>
      </w:r>
      <w:r>
        <w:rPr>
          <w:rFonts w:hint="eastAsia"/>
          <w:sz w:val="24"/>
          <w:lang w:val="zh-TW"/>
        </w:rPr>
        <w:t>；</w:t>
      </w:r>
      <w:r>
        <w:rPr>
          <w:rFonts w:hint="eastAsia"/>
          <w:sz w:val="24"/>
        </w:rPr>
        <w:t>保险费：春季$ 1659; 杂费：$25</w:t>
      </w:r>
      <w:r>
        <w:rPr>
          <w:sz w:val="24"/>
        </w:rPr>
        <w:t>4</w:t>
      </w:r>
      <w:r>
        <w:rPr>
          <w:rFonts w:hint="eastAsia"/>
          <w:sz w:val="24"/>
        </w:rPr>
        <w:t>；</w:t>
      </w:r>
      <w:r>
        <w:rPr>
          <w:rFonts w:hint="eastAsia"/>
          <w:sz w:val="24"/>
          <w:lang w:val="zh-TW"/>
        </w:rPr>
        <w:t>项目</w:t>
      </w:r>
      <w:r>
        <w:rPr>
          <w:rFonts w:hint="eastAsia"/>
          <w:sz w:val="24"/>
        </w:rPr>
        <w:t>管理费: $1500；（该项目管理费包含：项目咨询、协助材料准备、协助网申、获得录取、住宿信息提供、签证培训、机票购买指导以及行前指导）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不包括：住宿和餐费预估：$8152、签证费$510、国际机票（含税）价格8000-15000人民币。注意：海外有权对以上费用进行调整！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、奖学金：参加项目学生有机会申请获得300-</w:t>
      </w:r>
      <w:r>
        <w:rPr>
          <w:sz w:val="24"/>
        </w:rPr>
        <w:t>2</w:t>
      </w:r>
      <w:r>
        <w:rPr>
          <w:rFonts w:hint="eastAsia"/>
          <w:sz w:val="24"/>
        </w:rPr>
        <w:t>000元校园大使奖学金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>报名方式</w:t>
      </w:r>
      <w:r>
        <w:rPr>
          <w:b/>
          <w:bCs/>
          <w:sz w:val="24"/>
        </w:rPr>
        <w:t>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校内报名请联系：李老师 65779773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具体项目信息及申请选课相关</w:t>
      </w:r>
      <w:r>
        <w:rPr>
          <w:rFonts w:hint="eastAsia"/>
          <w:sz w:val="24"/>
          <w:lang w:eastAsia="zh-CN"/>
        </w:rPr>
        <w:t>事宜</w:t>
      </w:r>
      <w:r>
        <w:rPr>
          <w:rFonts w:hint="eastAsia"/>
          <w:sz w:val="24"/>
        </w:rPr>
        <w:t>请联系：圣母大学项目授权代表：屈老师，微信：ispconsultant（微信咨询请</w:t>
      </w:r>
      <w:r>
        <w:rPr>
          <w:rFonts w:hint="eastAsia"/>
          <w:sz w:val="24"/>
          <w:lang w:eastAsia="zh-CN"/>
        </w:rPr>
        <w:t>注明</w:t>
      </w:r>
      <w:bookmarkStart w:id="2" w:name="_GoBack"/>
      <w:bookmarkEnd w:id="2"/>
      <w:r>
        <w:rPr>
          <w:rFonts w:hint="eastAsia"/>
          <w:sz w:val="24"/>
        </w:rPr>
        <w:t>学校+专业+姓名）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1029970" cy="1029970"/>
            <wp:effectExtent l="0" t="0" r="6350" b="6350"/>
            <wp:docPr id="3" name="图片 3" descr="jenny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enny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drawing>
          <wp:inline distT="0" distB="0" distL="114300" distR="114300">
            <wp:extent cx="1037590" cy="1037590"/>
            <wp:effectExtent l="0" t="0" r="13970" b="13970"/>
            <wp:docPr id="4" name="图片 4" descr="校内申请中的问与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内申请中的问与答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</w:rPr>
      </w:pPr>
      <w:r>
        <w:rPr>
          <w:rFonts w:hint="eastAsia" w:ascii="宋体" w:hAnsi="宋体"/>
          <w:szCs w:val="21"/>
        </w:rPr>
        <w:t>更多项目信息，关注上方微信公众号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52033"/>
    <w:multiLevelType w:val="singleLevel"/>
    <w:tmpl w:val="8B4520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1BC46EA"/>
    <w:multiLevelType w:val="singleLevel"/>
    <w:tmpl w:val="61BC46E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1BC474F"/>
    <w:multiLevelType w:val="singleLevel"/>
    <w:tmpl w:val="61BC474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61BC47FD"/>
    <w:multiLevelType w:val="singleLevel"/>
    <w:tmpl w:val="61BC47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94A0F67"/>
    <w:multiLevelType w:val="multilevel"/>
    <w:tmpl w:val="694A0F6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DA75E4"/>
    <w:multiLevelType w:val="singleLevel"/>
    <w:tmpl w:val="6EDA75E4"/>
    <w:lvl w:ilvl="0" w:tentative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NmUzMWYzZGQ2NmM1YTAxOGY0NWQwMWE3NDQyMmIifQ=="/>
  </w:docVars>
  <w:rsids>
    <w:rsidRoot w:val="008B371D"/>
    <w:rsid w:val="000B4CDF"/>
    <w:rsid w:val="00155B68"/>
    <w:rsid w:val="00266299"/>
    <w:rsid w:val="0027430B"/>
    <w:rsid w:val="002B71A7"/>
    <w:rsid w:val="00431A4F"/>
    <w:rsid w:val="00801CEF"/>
    <w:rsid w:val="00846BCF"/>
    <w:rsid w:val="008B371D"/>
    <w:rsid w:val="00A94E46"/>
    <w:rsid w:val="00B6583A"/>
    <w:rsid w:val="00BA2E67"/>
    <w:rsid w:val="00BA4899"/>
    <w:rsid w:val="00D241B9"/>
    <w:rsid w:val="00FD6FDA"/>
    <w:rsid w:val="01B01230"/>
    <w:rsid w:val="06A7564A"/>
    <w:rsid w:val="07A73BF0"/>
    <w:rsid w:val="07AE01BC"/>
    <w:rsid w:val="08ED01C0"/>
    <w:rsid w:val="09403BAA"/>
    <w:rsid w:val="0B8272D5"/>
    <w:rsid w:val="0D3F577E"/>
    <w:rsid w:val="106A092D"/>
    <w:rsid w:val="19B831B1"/>
    <w:rsid w:val="1ABF4EB7"/>
    <w:rsid w:val="1B733492"/>
    <w:rsid w:val="1DBE2DB3"/>
    <w:rsid w:val="24363A52"/>
    <w:rsid w:val="267B7AA9"/>
    <w:rsid w:val="311B1957"/>
    <w:rsid w:val="31AB0617"/>
    <w:rsid w:val="36D45233"/>
    <w:rsid w:val="376C2B88"/>
    <w:rsid w:val="390F5B84"/>
    <w:rsid w:val="3AF16CCA"/>
    <w:rsid w:val="3B1A10DA"/>
    <w:rsid w:val="3B594D3D"/>
    <w:rsid w:val="3C992496"/>
    <w:rsid w:val="3EFFF058"/>
    <w:rsid w:val="3F4F7428"/>
    <w:rsid w:val="3F7BEAF0"/>
    <w:rsid w:val="3FB01D5A"/>
    <w:rsid w:val="4365521B"/>
    <w:rsid w:val="4B2D26CD"/>
    <w:rsid w:val="4C1E7CDB"/>
    <w:rsid w:val="4E0D14B1"/>
    <w:rsid w:val="504462F6"/>
    <w:rsid w:val="509F3FB3"/>
    <w:rsid w:val="51714275"/>
    <w:rsid w:val="536F6D2F"/>
    <w:rsid w:val="568F10A6"/>
    <w:rsid w:val="5FFE2689"/>
    <w:rsid w:val="61F07ED2"/>
    <w:rsid w:val="62B11B81"/>
    <w:rsid w:val="672A259A"/>
    <w:rsid w:val="693B7832"/>
    <w:rsid w:val="69411903"/>
    <w:rsid w:val="6A73299C"/>
    <w:rsid w:val="6B683182"/>
    <w:rsid w:val="6C864097"/>
    <w:rsid w:val="6DEA7CDA"/>
    <w:rsid w:val="6E770289"/>
    <w:rsid w:val="6FFFA195"/>
    <w:rsid w:val="70673205"/>
    <w:rsid w:val="73D47455"/>
    <w:rsid w:val="73FDAF69"/>
    <w:rsid w:val="750F5CE8"/>
    <w:rsid w:val="79E142F4"/>
    <w:rsid w:val="7A674545"/>
    <w:rsid w:val="7A956D71"/>
    <w:rsid w:val="7BEC0D06"/>
    <w:rsid w:val="7DE31037"/>
    <w:rsid w:val="7E8E2D3F"/>
    <w:rsid w:val="7F0C074E"/>
    <w:rsid w:val="7F61466D"/>
    <w:rsid w:val="7FFDCCB7"/>
    <w:rsid w:val="A3ED329C"/>
    <w:rsid w:val="B95559FC"/>
    <w:rsid w:val="BFEE4864"/>
    <w:rsid w:val="D3D45E33"/>
    <w:rsid w:val="D5645D52"/>
    <w:rsid w:val="E49FFFC5"/>
    <w:rsid w:val="ECF9B81E"/>
    <w:rsid w:val="EFDEEF58"/>
    <w:rsid w:val="F7D59155"/>
    <w:rsid w:val="FEFB7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18"/>
      <w:szCs w:val="18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qFormat/>
    <w:uiPriority w:val="0"/>
    <w:rPr>
      <w:color w:val="6C6C6C"/>
      <w:u w:val="none"/>
    </w:rPr>
  </w:style>
  <w:style w:type="character" w:styleId="11">
    <w:name w:val="HTML Acronym"/>
    <w:basedOn w:val="8"/>
    <w:qFormat/>
    <w:uiPriority w:val="0"/>
  </w:style>
  <w:style w:type="character" w:styleId="12">
    <w:name w:val="Hyperlink"/>
    <w:qFormat/>
    <w:uiPriority w:val="0"/>
    <w:rPr>
      <w:color w:val="6C6C6C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1928</Words>
  <Characters>2103</Characters>
  <Lines>15</Lines>
  <Paragraphs>4</Paragraphs>
  <TotalTime>1</TotalTime>
  <ScaleCrop>false</ScaleCrop>
  <LinksUpToDate>false</LinksUpToDate>
  <CharactersWithSpaces>2112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PC</cp:lastModifiedBy>
  <dcterms:modified xsi:type="dcterms:W3CDTF">2022-09-07T05:13:19Z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08BD5ED6480F44B889036A5DB0B8276D</vt:lpwstr>
  </property>
</Properties>
</file>